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8C2E0A" w:rsidRPr="008C2E0A" w:rsidTr="008C2E0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F333D2" w:rsidRPr="003224D4">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F333D2" w:rsidRPr="003224D4">
                    <w:tc>
                      <w:tcPr>
                        <w:tcW w:w="0" w:type="auto"/>
                        <w:tcMar>
                          <w:top w:w="150" w:type="dxa"/>
                          <w:left w:w="300" w:type="dxa"/>
                          <w:bottom w:w="150" w:type="dxa"/>
                          <w:right w:w="300" w:type="dxa"/>
                        </w:tcMar>
                      </w:tcPr>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F333D2" w:rsidRPr="002520E1" w:rsidRDefault="00BC0415">
                              <w:pPr>
                                <w:spacing w:after="240" w:line="330" w:lineRule="atLeast"/>
                                <w:rPr>
                                  <w:rFonts w:ascii="Arial" w:eastAsia="Times New Roman" w:hAnsi="Arial" w:cs="Arial"/>
                                  <w:sz w:val="36"/>
                                  <w:szCs w:val="36"/>
                                </w:rPr>
                              </w:pPr>
                              <w:bookmarkStart w:id="0" w:name="_GoBack"/>
                              <w:bookmarkEnd w:id="0"/>
                              <w:r w:rsidRPr="00BC0415">
                                <w:rPr>
                                  <w:noProof/>
                                </w:rPr>
                                <w:drawing>
                                  <wp:anchor distT="0" distB="0" distL="114300" distR="114300" simplePos="0" relativeHeight="251663360" behindDoc="0" locked="0" layoutInCell="1" allowOverlap="1" wp14:anchorId="4276032D" wp14:editId="4464A479">
                                    <wp:simplePos x="0" y="0"/>
                                    <wp:positionH relativeFrom="column">
                                      <wp:posOffset>3185160</wp:posOffset>
                                    </wp:positionH>
                                    <wp:positionV relativeFrom="page">
                                      <wp:posOffset>-917575</wp:posOffset>
                                    </wp:positionV>
                                    <wp:extent cx="2538730" cy="1459865"/>
                                    <wp:effectExtent l="0" t="0" r="0" b="6985"/>
                                    <wp:wrapNone/>
                                    <wp:docPr id="2" name="Grafik 2" descr="M:\Sozialbüro\Demenz\DigiDEM\Logo_digiDEM_Bayer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zialbüro\Demenz\DigiDEM\Logo_digiDEM_Bayern-1-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8730"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333D2" w:rsidRPr="002520E1">
                                <w:rPr>
                                  <w:rFonts w:ascii="Verdana" w:eastAsia="Times New Roman" w:hAnsi="Verdana"/>
                                  <w:b/>
                                  <w:bCs/>
                                  <w:color w:val="38ABF2"/>
                                  <w:sz w:val="36"/>
                                  <w:szCs w:val="36"/>
                                </w:rPr>
                                <w:t>digiDEM</w:t>
                              </w:r>
                              <w:proofErr w:type="spellEnd"/>
                              <w:r w:rsidR="00F333D2" w:rsidRPr="002520E1">
                                <w:rPr>
                                  <w:rFonts w:ascii="Verdana" w:eastAsia="Times New Roman" w:hAnsi="Verdana"/>
                                  <w:b/>
                                  <w:bCs/>
                                  <w:color w:val="38ABF2"/>
                                  <w:sz w:val="36"/>
                                  <w:szCs w:val="36"/>
                                </w:rPr>
                                <w:t xml:space="preserve"> Bayern</w:t>
                              </w:r>
                              <w:r w:rsidR="00F333D2" w:rsidRPr="002520E1">
                                <w:rPr>
                                  <w:rFonts w:ascii="Arial" w:eastAsia="Times New Roman" w:hAnsi="Arial" w:cs="Arial"/>
                                  <w:sz w:val="36"/>
                                  <w:szCs w:val="36"/>
                                </w:rPr>
                                <w:t xml:space="preserve"> </w:t>
                              </w:r>
                            </w:p>
                            <w:p w:rsidR="008C2E0A" w:rsidRPr="003224D4" w:rsidRDefault="008C2E0A">
                              <w:pPr>
                                <w:spacing w:after="240" w:line="330" w:lineRule="atLeast"/>
                                <w:rPr>
                                  <w:rFonts w:ascii="Arial" w:eastAsia="Times New Roman" w:hAnsi="Arial" w:cs="Arial"/>
                                  <w:sz w:val="22"/>
                                  <w:szCs w:val="22"/>
                                </w:rPr>
                              </w:pPr>
                              <w:r w:rsidRPr="003224D4">
                                <w:rPr>
                                  <w:rFonts w:ascii="Arial" w:eastAsia="Times New Roman" w:hAnsi="Arial" w:cs="Arial"/>
                                  <w:sz w:val="22"/>
                                  <w:szCs w:val="22"/>
                                </w:rPr>
                                <w:t>Liebe Leserin, lieber Leser,</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after="240" w:line="330" w:lineRule="atLeast"/>
                                <w:rPr>
                                  <w:rFonts w:ascii="Arial" w:eastAsia="Times New Roman" w:hAnsi="Arial" w:cs="Arial"/>
                                  <w:sz w:val="22"/>
                                  <w:szCs w:val="22"/>
                                </w:rPr>
                              </w:pPr>
                              <w:r w:rsidRPr="003224D4">
                                <w:rPr>
                                  <w:rFonts w:ascii="Arial" w:eastAsia="Times New Roman" w:hAnsi="Arial" w:cs="Arial"/>
                                  <w:sz w:val="22"/>
                                  <w:szCs w:val="22"/>
                                </w:rPr>
                                <w:t xml:space="preserve">weltweit könnte sich die Anzahl der Demenzerkrankungen bis zum Jahr 2050 verdreifachen. Zu diesem Ergebnis kommt ein Team von internationalen Wissenschaftlerinnen und Wissenschaftlern. Ihre Gesundheitsstudie wurde im Januar 2022 in der Fachzeitschrift „The Lancet Public </w:t>
                              </w:r>
                              <w:proofErr w:type="spellStart"/>
                              <w:r w:rsidRPr="003224D4">
                                <w:rPr>
                                  <w:rFonts w:ascii="Arial" w:eastAsia="Times New Roman" w:hAnsi="Arial" w:cs="Arial"/>
                                  <w:sz w:val="22"/>
                                  <w:szCs w:val="22"/>
                                </w:rPr>
                                <w:t>Health</w:t>
                              </w:r>
                              <w:proofErr w:type="spellEnd"/>
                              <w:r w:rsidRPr="003224D4">
                                <w:rPr>
                                  <w:rFonts w:ascii="Arial" w:eastAsia="Times New Roman" w:hAnsi="Arial" w:cs="Arial"/>
                                  <w:sz w:val="22"/>
                                  <w:szCs w:val="22"/>
                                </w:rPr>
                                <w:t>“ veröffentlicht.</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after="240" w:line="330" w:lineRule="atLeast"/>
                                <w:rPr>
                                  <w:rFonts w:ascii="Arial" w:eastAsia="Times New Roman" w:hAnsi="Arial" w:cs="Arial"/>
                                  <w:sz w:val="22"/>
                                  <w:szCs w:val="22"/>
                                </w:rPr>
                              </w:pPr>
                              <w:r w:rsidRPr="003224D4">
                                <w:rPr>
                                  <w:rFonts w:ascii="Arial" w:eastAsia="Times New Roman" w:hAnsi="Arial" w:cs="Arial"/>
                                  <w:sz w:val="22"/>
                                  <w:szCs w:val="22"/>
                                </w:rPr>
                                <w:t xml:space="preserve">Demnach könne die Anzahl der Demenzfälle von rund 57,4 Millionen im Jahr 2019 auf 152,8 Millionen im Jahr 2050 steigen. In der „Global </w:t>
                              </w:r>
                              <w:proofErr w:type="spellStart"/>
                              <w:r w:rsidRPr="003224D4">
                                <w:rPr>
                                  <w:rFonts w:ascii="Arial" w:eastAsia="Times New Roman" w:hAnsi="Arial" w:cs="Arial"/>
                                  <w:sz w:val="22"/>
                                  <w:szCs w:val="22"/>
                                </w:rPr>
                                <w:t>Burden</w:t>
                              </w:r>
                              <w:proofErr w:type="spellEnd"/>
                              <w:r w:rsidRPr="003224D4">
                                <w:rPr>
                                  <w:rFonts w:ascii="Arial" w:eastAsia="Times New Roman" w:hAnsi="Arial" w:cs="Arial"/>
                                  <w:sz w:val="22"/>
                                  <w:szCs w:val="22"/>
                                </w:rPr>
                                <w:t xml:space="preserve"> </w:t>
                              </w:r>
                              <w:proofErr w:type="spellStart"/>
                              <w:r w:rsidRPr="003224D4">
                                <w:rPr>
                                  <w:rFonts w:ascii="Arial" w:eastAsia="Times New Roman" w:hAnsi="Arial" w:cs="Arial"/>
                                  <w:sz w:val="22"/>
                                  <w:szCs w:val="22"/>
                                </w:rPr>
                                <w:t>of</w:t>
                              </w:r>
                              <w:proofErr w:type="spellEnd"/>
                              <w:r w:rsidRPr="003224D4">
                                <w:rPr>
                                  <w:rFonts w:ascii="Arial" w:eastAsia="Times New Roman" w:hAnsi="Arial" w:cs="Arial"/>
                                  <w:sz w:val="22"/>
                                  <w:szCs w:val="22"/>
                                </w:rPr>
                                <w:t xml:space="preserve"> </w:t>
                              </w:r>
                              <w:proofErr w:type="spellStart"/>
                              <w:r w:rsidRPr="003224D4">
                                <w:rPr>
                                  <w:rFonts w:ascii="Arial" w:eastAsia="Times New Roman" w:hAnsi="Arial" w:cs="Arial"/>
                                  <w:sz w:val="22"/>
                                  <w:szCs w:val="22"/>
                                </w:rPr>
                                <w:t>Disease</w:t>
                              </w:r>
                              <w:proofErr w:type="spellEnd"/>
                              <w:r w:rsidRPr="003224D4">
                                <w:rPr>
                                  <w:rFonts w:ascii="Arial" w:eastAsia="Times New Roman" w:hAnsi="Arial" w:cs="Arial"/>
                                  <w:sz w:val="22"/>
                                  <w:szCs w:val="22"/>
                                </w:rPr>
                                <w:t>“-Studie untersuchten die Forscherinnen und Forscher insgesamt 204 Länder und Territorien. Die größten Demenz-Zuwachsraten zeigten dabei Katar (mit einer Steigerung von 1926 Prozent) und die Vereinigten Arabischen Emirate (1795 Prozent). Am wenigsten sei Japan (27 Prozent) von einem Anstieg von Demenzfällen betroffen.</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line="330" w:lineRule="atLeast"/>
                                <w:rPr>
                                  <w:rFonts w:ascii="Arial" w:eastAsia="Times New Roman" w:hAnsi="Arial" w:cs="Arial"/>
                                  <w:sz w:val="22"/>
                                  <w:szCs w:val="22"/>
                                </w:rPr>
                              </w:pPr>
                              <w:r w:rsidRPr="003224D4">
                                <w:rPr>
                                  <w:rFonts w:ascii="Arial" w:eastAsia="Times New Roman" w:hAnsi="Arial" w:cs="Arial"/>
                                  <w:sz w:val="22"/>
                                  <w:szCs w:val="22"/>
                                </w:rPr>
                                <w:t xml:space="preserve">Auch in Deutschland werde es mehr Menschen mit Demenz geben. Ihre Anzahl steige von rund 1,7 Millionen auf knapp 2,8 Millionen. Mit einer Zunahme um 65 Prozent liege, so die Studie, die Bundesrepublik allerdings unter dem westeuropäischen Durchschnitt, zum Beispiel gegenüber Frankreich mit 82 Prozent und Schweiz mit 117 Prozent. </w:t>
                              </w:r>
                            </w:p>
                          </w:tc>
                        </w:tr>
                      </w:tbl>
                      <w:p w:rsidR="008C2E0A" w:rsidRPr="003224D4" w:rsidRDefault="008C2E0A">
                        <w:pPr>
                          <w:rPr>
                            <w:rFonts w:ascii="Arial" w:eastAsia="Times New Roman" w:hAnsi="Arial" w:cs="Arial"/>
                            <w:sz w:val="22"/>
                            <w:szCs w:val="22"/>
                          </w:rPr>
                        </w:pPr>
                      </w:p>
                    </w:tc>
                  </w:tr>
                </w:tbl>
                <w:p w:rsidR="008C2E0A" w:rsidRPr="003224D4" w:rsidRDefault="008C2E0A">
                  <w:pPr>
                    <w:rPr>
                      <w:rFonts w:ascii="Arial" w:eastAsia="Times New Roman" w:hAnsi="Arial" w:cs="Arial"/>
                      <w:sz w:val="22"/>
                      <w:szCs w:val="22"/>
                    </w:rPr>
                  </w:pPr>
                </w:p>
              </w:tc>
            </w:tr>
          </w:tbl>
          <w:p w:rsidR="008C2E0A" w:rsidRPr="003224D4" w:rsidRDefault="008C2E0A">
            <w:pPr>
              <w:jc w:val="center"/>
              <w:rPr>
                <w:rFonts w:ascii="Arial" w:eastAsia="Times New Roman" w:hAnsi="Arial" w:cs="Arial"/>
                <w:sz w:val="22"/>
                <w:szCs w:val="22"/>
              </w:rPr>
            </w:pPr>
          </w:p>
        </w:tc>
      </w:tr>
      <w:tr w:rsidR="008C2E0A" w:rsidRPr="008C2E0A" w:rsidTr="008C2E0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F333D2" w:rsidRPr="003224D4">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F333D2" w:rsidRPr="003224D4">
                    <w:tc>
                      <w:tcPr>
                        <w:tcW w:w="0" w:type="auto"/>
                        <w:tcMar>
                          <w:top w:w="150" w:type="dxa"/>
                          <w:left w:w="300" w:type="dxa"/>
                          <w:bottom w:w="15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line="330" w:lineRule="atLeast"/>
                                <w:rPr>
                                  <w:rFonts w:ascii="Arial" w:eastAsia="Times New Roman" w:hAnsi="Arial" w:cs="Arial"/>
                                  <w:sz w:val="22"/>
                                  <w:szCs w:val="22"/>
                                </w:rPr>
                              </w:pPr>
                              <w:r w:rsidRPr="003224D4">
                                <w:rPr>
                                  <w:rStyle w:val="Fett"/>
                                  <w:rFonts w:ascii="Arial" w:eastAsia="Times New Roman" w:hAnsi="Arial" w:cs="Arial"/>
                                  <w:sz w:val="22"/>
                                  <w:szCs w:val="22"/>
                                </w:rPr>
                                <w:t>Versorgungs-Tsunami ist zu erwarten</w:t>
                              </w:r>
                              <w:r w:rsidRPr="003224D4">
                                <w:rPr>
                                  <w:rFonts w:ascii="Arial" w:eastAsia="Times New Roman" w:hAnsi="Arial" w:cs="Arial"/>
                                  <w:sz w:val="22"/>
                                  <w:szCs w:val="22"/>
                                </w:rPr>
                                <w:t xml:space="preserve"> </w:t>
                              </w:r>
                            </w:p>
                          </w:tc>
                        </w:tr>
                      </w:tbl>
                      <w:p w:rsidR="008C2E0A" w:rsidRPr="003224D4" w:rsidRDefault="008C2E0A">
                        <w:pPr>
                          <w:rPr>
                            <w:rFonts w:ascii="Arial" w:eastAsia="Times New Roman" w:hAnsi="Arial" w:cs="Arial"/>
                            <w:sz w:val="22"/>
                            <w:szCs w:val="22"/>
                          </w:rPr>
                        </w:pPr>
                      </w:p>
                    </w:tc>
                  </w:tr>
                  <w:tr w:rsidR="00F333D2" w:rsidRPr="003224D4">
                    <w:tc>
                      <w:tcPr>
                        <w:tcW w:w="0" w:type="auto"/>
                        <w:tcMar>
                          <w:top w:w="150" w:type="dxa"/>
                          <w:left w:w="300" w:type="dxa"/>
                          <w:bottom w:w="150" w:type="dxa"/>
                          <w:right w:w="300" w:type="dxa"/>
                        </w:tcMar>
                      </w:tcPr>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after="240" w:line="330" w:lineRule="atLeast"/>
                                <w:rPr>
                                  <w:rFonts w:ascii="Arial" w:eastAsia="Times New Roman" w:hAnsi="Arial" w:cs="Arial"/>
                                  <w:sz w:val="22"/>
                                  <w:szCs w:val="22"/>
                                </w:rPr>
                              </w:pPr>
                              <w:r w:rsidRPr="003224D4">
                                <w:rPr>
                                  <w:rFonts w:ascii="Arial" w:eastAsia="Times New Roman" w:hAnsi="Arial" w:cs="Arial"/>
                                  <w:sz w:val="22"/>
                                  <w:szCs w:val="22"/>
                                </w:rPr>
                                <w:t xml:space="preserve">Nach Angaben des World Alzheimer Reports ist Demenz die siebthäufigste Todesursache weltweit. Zu den Hauptrisikofaktoren gehören unter anderem Rauchen, Fettleibigkeit, hoher Blutzucker, aber auch niedrige Bildung. Demenz ist nicht heilbar. „Umso wichtiger ist es, Krankheitsverläufe zu kennen und die Pflege- und Behandlungssituation in jedem Stadium der Erkrankung anzupassen“, sagt Prof. Dr. Peter </w:t>
                              </w:r>
                              <w:proofErr w:type="spellStart"/>
                              <w:r w:rsidRPr="003224D4">
                                <w:rPr>
                                  <w:rFonts w:ascii="Arial" w:eastAsia="Times New Roman" w:hAnsi="Arial" w:cs="Arial"/>
                                  <w:sz w:val="22"/>
                                  <w:szCs w:val="22"/>
                                </w:rPr>
                                <w:t>Kolominsky-Rabas</w:t>
                              </w:r>
                              <w:proofErr w:type="spellEnd"/>
                              <w:r w:rsidRPr="003224D4">
                                <w:rPr>
                                  <w:rFonts w:ascii="Arial" w:eastAsia="Times New Roman" w:hAnsi="Arial" w:cs="Arial"/>
                                  <w:sz w:val="22"/>
                                  <w:szCs w:val="22"/>
                                </w:rPr>
                                <w:t xml:space="preserve">, einer der Projektleiter des Versorgungsforschungsprojektes </w:t>
                              </w:r>
                              <w:proofErr w:type="spellStart"/>
                              <w:r w:rsidRPr="003224D4">
                                <w:rPr>
                                  <w:rFonts w:ascii="Arial" w:eastAsia="Times New Roman" w:hAnsi="Arial" w:cs="Arial"/>
                                  <w:sz w:val="22"/>
                                  <w:szCs w:val="22"/>
                                </w:rPr>
                                <w:t>digiDEM</w:t>
                              </w:r>
                              <w:proofErr w:type="spellEnd"/>
                              <w:r w:rsidRPr="003224D4">
                                <w:rPr>
                                  <w:rFonts w:ascii="Arial" w:eastAsia="Times New Roman" w:hAnsi="Arial" w:cs="Arial"/>
                                  <w:sz w:val="22"/>
                                  <w:szCs w:val="22"/>
                                </w:rPr>
                                <w:t xml:space="preserve"> Bayern. Demenzielle Erkrankungen sind die gesundheitspolitische Herausforderung weltweit. Wie der </w:t>
                              </w:r>
                              <w:hyperlink r:id="rId5" w:tgtFrame="_blank" w:history="1">
                                <w:r w:rsidRPr="003224D4">
                                  <w:rPr>
                                    <w:rStyle w:val="Hyperlink"/>
                                    <w:rFonts w:ascii="Arial" w:eastAsia="Times New Roman" w:hAnsi="Arial" w:cs="Arial"/>
                                    <w:color w:val="auto"/>
                                    <w:sz w:val="22"/>
                                    <w:szCs w:val="22"/>
                                    <w:u w:val="none"/>
                                  </w:rPr>
                                  <w:t>aktuelle Welt Alzheimer Report</w:t>
                                </w:r>
                              </w:hyperlink>
                              <w:r w:rsidRPr="003224D4">
                                <w:rPr>
                                  <w:rFonts w:ascii="Arial" w:eastAsia="Times New Roman" w:hAnsi="Arial" w:cs="Arial"/>
                                  <w:sz w:val="22"/>
                                  <w:szCs w:val="22"/>
                                </w:rPr>
                                <w:t xml:space="preserve"> von September 2021 feststellt, ist mit einem Tsunami an Versorgungsleistungen zu rechnen, da die Weltbevölkerung zunehmend altert.</w:t>
                              </w:r>
                              <w:r w:rsidR="00BC0415" w:rsidRPr="00BC0415">
                                <w:rPr>
                                  <w:noProof/>
                                </w:rPr>
                                <w:t xml:space="preserve"> </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line="330" w:lineRule="atLeast"/>
                                <w:rPr>
                                  <w:rFonts w:ascii="Arial" w:eastAsia="Times New Roman" w:hAnsi="Arial" w:cs="Arial"/>
                                  <w:sz w:val="22"/>
                                  <w:szCs w:val="22"/>
                                </w:rPr>
                              </w:pPr>
                              <w:r w:rsidRPr="003224D4">
                                <w:rPr>
                                  <w:rFonts w:ascii="Arial" w:eastAsia="Times New Roman" w:hAnsi="Arial" w:cs="Arial"/>
                                  <w:sz w:val="22"/>
                                  <w:szCs w:val="22"/>
                                </w:rPr>
                                <w:t xml:space="preserve">Die Lebensbedingungen sowohl von Menschen mit Demenz als auch ihren Angehörigen zu verbessern, dies ist eines der großen Ziele von </w:t>
                              </w:r>
                              <w:proofErr w:type="spellStart"/>
                              <w:r w:rsidRPr="003224D4">
                                <w:rPr>
                                  <w:rFonts w:ascii="Arial" w:eastAsia="Times New Roman" w:hAnsi="Arial" w:cs="Arial"/>
                                  <w:sz w:val="22"/>
                                  <w:szCs w:val="22"/>
                                </w:rPr>
                                <w:t>digiDEM</w:t>
                              </w:r>
                              <w:proofErr w:type="spellEnd"/>
                              <w:r w:rsidRPr="003224D4">
                                <w:rPr>
                                  <w:rFonts w:ascii="Arial" w:eastAsia="Times New Roman" w:hAnsi="Arial" w:cs="Arial"/>
                                  <w:sz w:val="22"/>
                                  <w:szCs w:val="22"/>
                                </w:rPr>
                                <w:t xml:space="preserve"> Bayern. Die zweite wichtige Säule, ist die systematische, wissenschaftliche Befragung von Menschen mit Demenz sowie ihrer pflegenden Angehörigen in ihrer Situation. Das Versorgungsforschungsprojekt baut auf diese Weise ein digitales Demenzregister für Bayern auf, um den Langzeitverlauf der Erkrankung besser verstehen zu können. </w:t>
                              </w:r>
                            </w:p>
                          </w:tc>
                        </w:tr>
                      </w:tbl>
                      <w:p w:rsidR="008C2E0A" w:rsidRPr="003224D4" w:rsidRDefault="008C2E0A">
                        <w:pPr>
                          <w:rPr>
                            <w:rFonts w:ascii="Arial" w:eastAsia="Times New Roman" w:hAnsi="Arial" w:cs="Arial"/>
                            <w:sz w:val="22"/>
                            <w:szCs w:val="22"/>
                          </w:rPr>
                        </w:pPr>
                      </w:p>
                    </w:tc>
                  </w:tr>
                </w:tbl>
                <w:p w:rsidR="008C2E0A" w:rsidRPr="003224D4" w:rsidRDefault="008C2E0A">
                  <w:pPr>
                    <w:rPr>
                      <w:rFonts w:ascii="Arial" w:eastAsia="Times New Roman" w:hAnsi="Arial" w:cs="Arial"/>
                      <w:sz w:val="22"/>
                      <w:szCs w:val="22"/>
                    </w:rPr>
                  </w:pPr>
                </w:p>
              </w:tc>
            </w:tr>
          </w:tbl>
          <w:p w:rsidR="008C2E0A" w:rsidRPr="003224D4" w:rsidRDefault="008C2E0A">
            <w:pPr>
              <w:jc w:val="center"/>
              <w:rPr>
                <w:rFonts w:ascii="Arial" w:eastAsia="Times New Roman" w:hAnsi="Arial" w:cs="Arial"/>
                <w:sz w:val="22"/>
                <w:szCs w:val="22"/>
              </w:rPr>
            </w:pPr>
          </w:p>
        </w:tc>
      </w:tr>
      <w:tr w:rsidR="008C2E0A" w:rsidRPr="008C2E0A" w:rsidTr="008C2E0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72"/>
            </w:tblGrid>
            <w:tr w:rsidR="00F333D2" w:rsidRPr="003224D4">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F333D2" w:rsidRPr="003224D4">
                    <w:tc>
                      <w:tcPr>
                        <w:tcW w:w="0" w:type="auto"/>
                        <w:tcMar>
                          <w:top w:w="150" w:type="dxa"/>
                          <w:left w:w="300" w:type="dxa"/>
                          <w:bottom w:w="150" w:type="dxa"/>
                          <w:right w:w="300" w:type="dxa"/>
                        </w:tcMar>
                        <w:hideMark/>
                      </w:tcPr>
                      <w:p w:rsidR="00112B69" w:rsidRDefault="00112B69"/>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line="330" w:lineRule="atLeast"/>
                                <w:rPr>
                                  <w:rFonts w:ascii="Arial" w:eastAsia="Times New Roman" w:hAnsi="Arial" w:cs="Arial"/>
                                  <w:sz w:val="22"/>
                                  <w:szCs w:val="22"/>
                                </w:rPr>
                              </w:pPr>
                              <w:r w:rsidRPr="003224D4">
                                <w:rPr>
                                  <w:rStyle w:val="Fett"/>
                                  <w:rFonts w:ascii="Arial" w:eastAsia="Times New Roman" w:hAnsi="Arial" w:cs="Arial"/>
                                  <w:sz w:val="22"/>
                                  <w:szCs w:val="22"/>
                                </w:rPr>
                                <w:lastRenderedPageBreak/>
                                <w:t>Erfolgreiche Forschung mit und für Bürgerinnen und Bürger</w:t>
                              </w:r>
                              <w:r w:rsidRPr="003224D4">
                                <w:rPr>
                                  <w:rFonts w:ascii="Arial" w:eastAsia="Times New Roman" w:hAnsi="Arial" w:cs="Arial"/>
                                  <w:sz w:val="22"/>
                                  <w:szCs w:val="22"/>
                                </w:rPr>
                                <w:t xml:space="preserve"> </w:t>
                              </w:r>
                            </w:p>
                          </w:tc>
                        </w:tr>
                      </w:tbl>
                      <w:p w:rsidR="008C2E0A" w:rsidRPr="003224D4" w:rsidRDefault="008C2E0A">
                        <w:pPr>
                          <w:rPr>
                            <w:rFonts w:ascii="Arial" w:eastAsia="Times New Roman" w:hAnsi="Arial" w:cs="Arial"/>
                            <w:sz w:val="22"/>
                            <w:szCs w:val="22"/>
                          </w:rPr>
                        </w:pPr>
                      </w:p>
                    </w:tc>
                  </w:tr>
                  <w:tr w:rsidR="00F333D2" w:rsidRPr="003224D4" w:rsidTr="00384326">
                    <w:trPr>
                      <w:trHeight w:val="7452"/>
                    </w:trPr>
                    <w:tc>
                      <w:tcPr>
                        <w:tcW w:w="0" w:type="auto"/>
                        <w:tcBorders>
                          <w:bottom w:val="single" w:sz="18" w:space="0" w:color="2F5496" w:themeColor="accent5" w:themeShade="BF"/>
                        </w:tcBorders>
                        <w:tcMar>
                          <w:top w:w="150" w:type="dxa"/>
                          <w:left w:w="300" w:type="dxa"/>
                          <w:bottom w:w="150" w:type="dxa"/>
                          <w:right w:w="300" w:type="dxa"/>
                        </w:tcMar>
                      </w:tcPr>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pPr>
                                <w:spacing w:after="240" w:line="330" w:lineRule="atLeast"/>
                                <w:rPr>
                                  <w:rFonts w:ascii="Arial" w:eastAsia="Times New Roman" w:hAnsi="Arial" w:cs="Arial"/>
                                  <w:sz w:val="22"/>
                                  <w:szCs w:val="22"/>
                                </w:rPr>
                              </w:pPr>
                              <w:r w:rsidRPr="003224D4">
                                <w:rPr>
                                  <w:rFonts w:ascii="Arial" w:eastAsia="Times New Roman" w:hAnsi="Arial" w:cs="Arial"/>
                                  <w:sz w:val="22"/>
                                  <w:szCs w:val="22"/>
                                </w:rPr>
                                <w:lastRenderedPageBreak/>
                                <w:t xml:space="preserve">Im Dezember 2021 wurde der 400. Studienteilnehmende befragt. Über diesen großen Zuspruch freut sich das Forscherteam sehr. Prof. Dr. Peter </w:t>
                              </w:r>
                              <w:proofErr w:type="spellStart"/>
                              <w:r w:rsidRPr="003224D4">
                                <w:rPr>
                                  <w:rFonts w:ascii="Arial" w:eastAsia="Times New Roman" w:hAnsi="Arial" w:cs="Arial"/>
                                  <w:sz w:val="22"/>
                                  <w:szCs w:val="22"/>
                                </w:rPr>
                                <w:t>Kolominsky-Rabas</w:t>
                              </w:r>
                              <w:proofErr w:type="spellEnd"/>
                              <w:r w:rsidRPr="003224D4">
                                <w:rPr>
                                  <w:rFonts w:ascii="Arial" w:eastAsia="Times New Roman" w:hAnsi="Arial" w:cs="Arial"/>
                                  <w:sz w:val="22"/>
                                  <w:szCs w:val="22"/>
                                </w:rPr>
                                <w:t xml:space="preserve"> betont: „Wir danken allen Studienteilnehmenden und besonders unseren Forschungspartnern und Forschungspartnerinnen. Mit ihrem Engagement übernehmen sie gesellschaftliche Verantwortung, indem sie in allen sieben bayerischen Regierungsbezirken Studienteilnehmende gewinnen.“</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384326" w:rsidRPr="00384326">
                          <w:tc>
                            <w:tcPr>
                              <w:tcW w:w="0" w:type="auto"/>
                              <w:vAlign w:val="center"/>
                              <w:hideMark/>
                            </w:tcPr>
                            <w:p w:rsidR="008C2E0A" w:rsidRPr="00384326" w:rsidRDefault="008C2E0A">
                              <w:pPr>
                                <w:spacing w:after="240" w:line="330" w:lineRule="atLeast"/>
                                <w:rPr>
                                  <w:rFonts w:ascii="Arial" w:eastAsia="Times New Roman" w:hAnsi="Arial" w:cs="Arial"/>
                                  <w:sz w:val="22"/>
                                  <w:szCs w:val="22"/>
                                </w:rPr>
                              </w:pPr>
                              <w:r w:rsidRPr="00384326">
                                <w:rPr>
                                  <w:rFonts w:ascii="Arial" w:eastAsia="Times New Roman" w:hAnsi="Arial" w:cs="Arial"/>
                                  <w:sz w:val="22"/>
                                  <w:szCs w:val="22"/>
                                </w:rPr>
                                <w:t xml:space="preserve">Die Teilnahme an der Studie als Forschungspartnerin und Forschungspartner am </w:t>
                              </w:r>
                              <w:proofErr w:type="spellStart"/>
                              <w:r w:rsidRPr="00384326">
                                <w:rPr>
                                  <w:rFonts w:ascii="Arial" w:eastAsia="Times New Roman" w:hAnsi="Arial" w:cs="Arial"/>
                                  <w:sz w:val="22"/>
                                  <w:szCs w:val="22"/>
                                </w:rPr>
                                <w:t>digiDEM</w:t>
                              </w:r>
                              <w:proofErr w:type="spellEnd"/>
                              <w:r w:rsidRPr="00384326">
                                <w:rPr>
                                  <w:rFonts w:ascii="Arial" w:eastAsia="Times New Roman" w:hAnsi="Arial" w:cs="Arial"/>
                                  <w:sz w:val="22"/>
                                  <w:szCs w:val="22"/>
                                </w:rPr>
                                <w:t xml:space="preserve"> Bayern-Projekt ist jederzeit möglich - ob als Mitarbeitender in einer Gedächtnisambulanz, Beratungsstelle, Fachstelle für pflegende Angehörige, Arztpraxis, Apotheke oder als Privatperson. Für die Gewinnung von Studienteilnehmenden erhalten die Forschungspartnerinnen und Forschungspartner eine Aufwandsentschädigung.</w:t>
                              </w: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rsidP="00B4666A">
                              <w:pPr>
                                <w:spacing w:line="330" w:lineRule="atLeast"/>
                                <w:rPr>
                                  <w:rFonts w:ascii="Arial" w:eastAsia="Times New Roman" w:hAnsi="Arial" w:cs="Arial"/>
                                  <w:sz w:val="22"/>
                                  <w:szCs w:val="22"/>
                                </w:rPr>
                              </w:pPr>
                              <w:r w:rsidRPr="003224D4">
                                <w:rPr>
                                  <w:rFonts w:ascii="Arial" w:eastAsia="Times New Roman" w:hAnsi="Arial" w:cs="Arial"/>
                                  <w:sz w:val="22"/>
                                  <w:szCs w:val="22"/>
                                </w:rPr>
                                <w:t>Unterstützen Sie uns - wir freuen uns auf Sie.</w:t>
                              </w:r>
                            </w:p>
                          </w:tc>
                        </w:tr>
                      </w:tbl>
                      <w:p w:rsidR="008C2E0A" w:rsidRPr="003224D4" w:rsidRDefault="008C2E0A" w:rsidP="00B4666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8C2E0A" w:rsidRPr="003224D4" w:rsidRDefault="008C2E0A" w:rsidP="00B4666A">
                              <w:pPr>
                                <w:spacing w:line="330" w:lineRule="atLeast"/>
                                <w:rPr>
                                  <w:rFonts w:ascii="Arial" w:eastAsia="Times New Roman" w:hAnsi="Arial" w:cs="Arial"/>
                                  <w:sz w:val="22"/>
                                  <w:szCs w:val="22"/>
                                </w:rPr>
                              </w:pPr>
                              <w:r w:rsidRPr="003224D4">
                                <w:rPr>
                                  <w:rFonts w:ascii="Arial" w:eastAsia="Times New Roman" w:hAnsi="Arial" w:cs="Arial"/>
                                  <w:sz w:val="22"/>
                                  <w:szCs w:val="22"/>
                                </w:rPr>
                                <w:t>Herzliche Grüße</w:t>
                              </w:r>
                            </w:p>
                          </w:tc>
                        </w:tr>
                      </w:tbl>
                      <w:p w:rsidR="008C2E0A" w:rsidRPr="003224D4" w:rsidRDefault="008C2E0A" w:rsidP="00B4666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F333D2" w:rsidRPr="003224D4">
                          <w:tc>
                            <w:tcPr>
                              <w:tcW w:w="0" w:type="auto"/>
                              <w:vAlign w:val="center"/>
                              <w:hideMark/>
                            </w:tcPr>
                            <w:p w:rsidR="00BC3109" w:rsidRDefault="008C2E0A" w:rsidP="00B4666A">
                              <w:pPr>
                                <w:spacing w:line="330" w:lineRule="atLeast"/>
                                <w:rPr>
                                  <w:rFonts w:ascii="Arial" w:eastAsia="Times New Roman" w:hAnsi="Arial" w:cs="Arial"/>
                                  <w:sz w:val="22"/>
                                  <w:szCs w:val="22"/>
                                </w:rPr>
                              </w:pPr>
                              <w:r w:rsidRPr="003224D4">
                                <w:rPr>
                                  <w:rFonts w:ascii="Arial" w:eastAsia="Times New Roman" w:hAnsi="Arial" w:cs="Arial"/>
                                  <w:sz w:val="22"/>
                                  <w:szCs w:val="22"/>
                                </w:rPr>
                                <w:t xml:space="preserve">Ihr </w:t>
                              </w:r>
                              <w:proofErr w:type="spellStart"/>
                              <w:r w:rsidRPr="003224D4">
                                <w:rPr>
                                  <w:rFonts w:ascii="Arial" w:eastAsia="Times New Roman" w:hAnsi="Arial" w:cs="Arial"/>
                                  <w:sz w:val="22"/>
                                  <w:szCs w:val="22"/>
                                </w:rPr>
                                <w:t>digiDEM</w:t>
                              </w:r>
                              <w:proofErr w:type="spellEnd"/>
                              <w:r w:rsidRPr="003224D4">
                                <w:rPr>
                                  <w:rFonts w:ascii="Arial" w:eastAsia="Times New Roman" w:hAnsi="Arial" w:cs="Arial"/>
                                  <w:sz w:val="22"/>
                                  <w:szCs w:val="22"/>
                                </w:rPr>
                                <w:t xml:space="preserve"> Bayern-Team</w:t>
                              </w:r>
                            </w:p>
                            <w:p w:rsidR="00B4666A" w:rsidRPr="003224D4" w:rsidRDefault="00B4666A" w:rsidP="00B4666A">
                              <w:pPr>
                                <w:spacing w:line="330" w:lineRule="atLeast"/>
                                <w:rPr>
                                  <w:rFonts w:ascii="Arial" w:eastAsia="Times New Roman" w:hAnsi="Arial" w:cs="Arial"/>
                                  <w:sz w:val="22"/>
                                  <w:szCs w:val="22"/>
                                </w:rPr>
                              </w:pPr>
                            </w:p>
                          </w:tc>
                        </w:tr>
                      </w:tbl>
                      <w:p w:rsidR="008C2E0A" w:rsidRPr="003224D4" w:rsidRDefault="008C2E0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384326" w:rsidRPr="00384326" w:rsidTr="002520E1">
                          <w:trPr>
                            <w:trHeight w:val="306"/>
                          </w:trPr>
                          <w:tc>
                            <w:tcPr>
                              <w:tcW w:w="0" w:type="auto"/>
                              <w:vAlign w:val="center"/>
                              <w:hideMark/>
                            </w:tcPr>
                            <w:p w:rsidR="008C2E0A" w:rsidRPr="00384326" w:rsidRDefault="008C2E0A" w:rsidP="00B4666A">
                              <w:pPr>
                                <w:spacing w:line="330" w:lineRule="atLeast"/>
                                <w:rPr>
                                  <w:rFonts w:ascii="Arial" w:eastAsia="Times New Roman" w:hAnsi="Arial" w:cs="Arial"/>
                                  <w:sz w:val="22"/>
                                  <w:szCs w:val="22"/>
                                </w:rPr>
                              </w:pPr>
                              <w:r w:rsidRPr="00384326">
                                <w:rPr>
                                  <w:rFonts w:ascii="Arial" w:eastAsia="Times New Roman" w:hAnsi="Arial" w:cs="Arial"/>
                                  <w:sz w:val="22"/>
                                  <w:szCs w:val="22"/>
                                </w:rPr>
                                <w:t>So erreichen Sie uns, wenn Sie Forschungspartner/-in werden möchten:</w:t>
                              </w:r>
                            </w:p>
                          </w:tc>
                        </w:tr>
                      </w:tbl>
                      <w:p w:rsidR="008C2E0A" w:rsidRPr="00384326" w:rsidRDefault="008C2E0A" w:rsidP="00B4666A">
                        <w:pPr>
                          <w:rPr>
                            <w:rFonts w:ascii="Arial" w:eastAsia="Times New Roman" w:hAnsi="Arial" w:cs="Arial"/>
                            <w:vanish/>
                            <w:sz w:val="22"/>
                            <w:szCs w:val="22"/>
                          </w:rPr>
                        </w:pPr>
                      </w:p>
                      <w:p w:rsidR="008C2E0A" w:rsidRPr="00384326" w:rsidRDefault="008C2E0A" w:rsidP="00B4666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384326" w:rsidRPr="00384326">
                          <w:tc>
                            <w:tcPr>
                              <w:tcW w:w="0" w:type="auto"/>
                              <w:vAlign w:val="center"/>
                              <w:hideMark/>
                            </w:tcPr>
                            <w:p w:rsidR="008C2E0A" w:rsidRPr="00384326" w:rsidRDefault="008C2E0A" w:rsidP="00B4666A">
                              <w:pPr>
                                <w:spacing w:line="330" w:lineRule="atLeast"/>
                                <w:rPr>
                                  <w:rFonts w:ascii="Arial" w:eastAsia="Times New Roman" w:hAnsi="Arial" w:cs="Arial"/>
                                  <w:sz w:val="22"/>
                                  <w:szCs w:val="22"/>
                                </w:rPr>
                              </w:pPr>
                              <w:r w:rsidRPr="00384326">
                                <w:rPr>
                                  <w:rFonts w:ascii="Arial" w:eastAsia="Times New Roman" w:hAnsi="Arial" w:cs="Arial"/>
                                  <w:sz w:val="22"/>
                                  <w:szCs w:val="22"/>
                                </w:rPr>
                                <w:t xml:space="preserve">Für die Region Südbayern (Niederbayern, Oberbayern, Schwaben) </w:t>
                              </w:r>
                            </w:p>
                          </w:tc>
                        </w:tr>
                      </w:tbl>
                      <w:p w:rsidR="008C2E0A" w:rsidRPr="00384326" w:rsidRDefault="008C2E0A" w:rsidP="00B4666A">
                        <w:pPr>
                          <w:rPr>
                            <w:rFonts w:ascii="Arial" w:eastAsia="Times New Roman" w:hAnsi="Arial" w:cs="Arial"/>
                            <w:vanish/>
                            <w:sz w:val="22"/>
                            <w:szCs w:val="22"/>
                          </w:rPr>
                        </w:pPr>
                      </w:p>
                      <w:tbl>
                        <w:tblPr>
                          <w:tblW w:w="5000" w:type="pct"/>
                          <w:tblCellMar>
                            <w:left w:w="0" w:type="dxa"/>
                            <w:right w:w="0" w:type="dxa"/>
                          </w:tblCellMar>
                          <w:tblLook w:val="04A0" w:firstRow="1" w:lastRow="0" w:firstColumn="1" w:lastColumn="0" w:noHBand="0" w:noVBand="1"/>
                        </w:tblPr>
                        <w:tblGrid>
                          <w:gridCol w:w="8472"/>
                        </w:tblGrid>
                        <w:tr w:rsidR="00384326" w:rsidRPr="00384326">
                          <w:tc>
                            <w:tcPr>
                              <w:tcW w:w="0" w:type="auto"/>
                              <w:vAlign w:val="center"/>
                              <w:hideMark/>
                            </w:tcPr>
                            <w:p w:rsidR="008C2E0A" w:rsidRPr="00384326" w:rsidRDefault="008C2E0A" w:rsidP="00B4666A">
                              <w:pPr>
                                <w:spacing w:line="330" w:lineRule="atLeast"/>
                                <w:rPr>
                                  <w:rFonts w:ascii="Arial" w:eastAsia="Times New Roman" w:hAnsi="Arial" w:cs="Arial"/>
                                  <w:sz w:val="22"/>
                                  <w:szCs w:val="22"/>
                                </w:rPr>
                              </w:pPr>
                              <w:r w:rsidRPr="00384326">
                                <w:rPr>
                                  <w:rStyle w:val="Fett"/>
                                  <w:rFonts w:ascii="Arial" w:eastAsia="Times New Roman" w:hAnsi="Arial" w:cs="Arial"/>
                                  <w:sz w:val="22"/>
                                  <w:szCs w:val="22"/>
                                </w:rPr>
                                <w:t>Mobil</w:t>
                              </w:r>
                              <w:r w:rsidRPr="00384326">
                                <w:rPr>
                                  <w:rFonts w:ascii="Arial" w:eastAsia="Times New Roman" w:hAnsi="Arial" w:cs="Arial"/>
                                  <w:sz w:val="22"/>
                                  <w:szCs w:val="22"/>
                                </w:rPr>
                                <w:t>: 0162/2432380</w:t>
                              </w:r>
                              <w:r w:rsidRPr="00384326">
                                <w:rPr>
                                  <w:rFonts w:ascii="Arial" w:eastAsia="Times New Roman" w:hAnsi="Arial" w:cs="Arial"/>
                                  <w:sz w:val="22"/>
                                  <w:szCs w:val="22"/>
                                </w:rPr>
                                <w:br/>
                              </w:r>
                              <w:r w:rsidRPr="00384326">
                                <w:rPr>
                                  <w:rStyle w:val="Fett"/>
                                  <w:rFonts w:ascii="Arial" w:eastAsia="Times New Roman" w:hAnsi="Arial" w:cs="Arial"/>
                                  <w:sz w:val="22"/>
                                  <w:szCs w:val="22"/>
                                </w:rPr>
                                <w:t>Mail</w:t>
                              </w:r>
                              <w:r w:rsidRPr="00384326">
                                <w:rPr>
                                  <w:rFonts w:ascii="Arial" w:eastAsia="Times New Roman" w:hAnsi="Arial" w:cs="Arial"/>
                                  <w:sz w:val="22"/>
                                  <w:szCs w:val="22"/>
                                </w:rPr>
                                <w:t xml:space="preserve">: </w:t>
                              </w:r>
                              <w:hyperlink r:id="rId6" w:history="1">
                                <w:r w:rsidRPr="00384326">
                                  <w:rPr>
                                    <w:rStyle w:val="Hyperlink"/>
                                    <w:rFonts w:ascii="Arial" w:eastAsia="Times New Roman" w:hAnsi="Arial" w:cs="Arial"/>
                                    <w:color w:val="auto"/>
                                    <w:sz w:val="22"/>
                                    <w:szCs w:val="22"/>
                                  </w:rPr>
                                  <w:t>suedbayern@digidem-bayern.de</w:t>
                                </w:r>
                              </w:hyperlink>
                              <w:r w:rsidRPr="00384326">
                                <w:rPr>
                                  <w:rFonts w:ascii="Arial" w:eastAsia="Times New Roman" w:hAnsi="Arial" w:cs="Arial"/>
                                  <w:sz w:val="22"/>
                                  <w:szCs w:val="22"/>
                                </w:rPr>
                                <w:t xml:space="preserve"> </w:t>
                              </w:r>
                            </w:p>
                          </w:tc>
                        </w:tr>
                      </w:tbl>
                      <w:p w:rsidR="008C2E0A" w:rsidRPr="003224D4" w:rsidRDefault="008C2E0A">
                        <w:pPr>
                          <w:rPr>
                            <w:rFonts w:ascii="Arial" w:eastAsia="Times New Roman" w:hAnsi="Arial" w:cs="Arial"/>
                            <w:sz w:val="22"/>
                            <w:szCs w:val="22"/>
                          </w:rPr>
                        </w:pPr>
                      </w:p>
                    </w:tc>
                  </w:tr>
                </w:tbl>
                <w:p w:rsidR="008C2E0A" w:rsidRPr="003224D4" w:rsidRDefault="008C2E0A">
                  <w:pPr>
                    <w:rPr>
                      <w:rFonts w:ascii="Arial" w:eastAsia="Times New Roman" w:hAnsi="Arial" w:cs="Arial"/>
                      <w:sz w:val="22"/>
                      <w:szCs w:val="22"/>
                    </w:rPr>
                  </w:pPr>
                </w:p>
              </w:tc>
            </w:tr>
          </w:tbl>
          <w:p w:rsidR="008C2E0A" w:rsidRPr="003224D4" w:rsidRDefault="008C2E0A">
            <w:pPr>
              <w:jc w:val="center"/>
              <w:rPr>
                <w:rFonts w:ascii="Arial" w:eastAsia="Times New Roman" w:hAnsi="Arial" w:cs="Arial"/>
                <w:sz w:val="22"/>
                <w:szCs w:val="22"/>
              </w:rPr>
            </w:pPr>
          </w:p>
        </w:tc>
      </w:tr>
    </w:tbl>
    <w:p w:rsidR="00AE0959" w:rsidRPr="008C2E0A" w:rsidRDefault="00AE0959" w:rsidP="00B4666A">
      <w:pPr>
        <w:rPr>
          <w:rFonts w:ascii="Arial" w:hAnsi="Arial" w:cs="Arial"/>
        </w:rPr>
      </w:pPr>
    </w:p>
    <w:sectPr w:rsidR="00AE0959" w:rsidRPr="008C2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E0A"/>
    <w:rsid w:val="00112B69"/>
    <w:rsid w:val="002520E1"/>
    <w:rsid w:val="00321C1F"/>
    <w:rsid w:val="003224D4"/>
    <w:rsid w:val="00384326"/>
    <w:rsid w:val="008C2E0A"/>
    <w:rsid w:val="00A44F2E"/>
    <w:rsid w:val="00AE0959"/>
    <w:rsid w:val="00B4666A"/>
    <w:rsid w:val="00BA57F4"/>
    <w:rsid w:val="00BC0415"/>
    <w:rsid w:val="00BC3109"/>
    <w:rsid w:val="00C94C1D"/>
    <w:rsid w:val="00EB654C"/>
    <w:rsid w:val="00F333D2"/>
    <w:rsid w:val="00FA6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83DC0-25FF-45A7-B945-C8E3D1F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2E0A"/>
    <w:pPr>
      <w:spacing w:after="0" w:line="240" w:lineRule="auto"/>
    </w:pPr>
    <w:rPr>
      <w:rFonts w:ascii="Times New Roman" w:hAnsi="Times New Roman" w:cs="Times New Roman"/>
      <w:sz w:val="24"/>
      <w:szCs w:val="24"/>
      <w:lang w:eastAsia="de-DE"/>
    </w:rPr>
  </w:style>
  <w:style w:type="paragraph" w:styleId="berschrift3">
    <w:name w:val="heading 3"/>
    <w:basedOn w:val="Standard"/>
    <w:link w:val="berschrift3Zchn"/>
    <w:uiPriority w:val="9"/>
    <w:semiHidden/>
    <w:unhideWhenUsed/>
    <w:qFormat/>
    <w:rsid w:val="008C2E0A"/>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8C2E0A"/>
    <w:rPr>
      <w:rFonts w:ascii="Times New Roman" w:hAnsi="Times New Roman" w:cs="Times New Roman"/>
      <w:b/>
      <w:bCs/>
      <w:sz w:val="27"/>
      <w:szCs w:val="27"/>
      <w:lang w:eastAsia="de-DE"/>
    </w:rPr>
  </w:style>
  <w:style w:type="character" w:styleId="Hyperlink">
    <w:name w:val="Hyperlink"/>
    <w:basedOn w:val="Absatz-Standardschriftart"/>
    <w:uiPriority w:val="99"/>
    <w:unhideWhenUsed/>
    <w:rsid w:val="008C2E0A"/>
    <w:rPr>
      <w:color w:val="0000FF"/>
      <w:u w:val="single"/>
    </w:rPr>
  </w:style>
  <w:style w:type="character" w:styleId="Fett">
    <w:name w:val="Strong"/>
    <w:basedOn w:val="Absatz-Standardschriftart"/>
    <w:uiPriority w:val="22"/>
    <w:qFormat/>
    <w:rsid w:val="008C2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2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rdbayern@digidem-bayern.de" TargetMode="External"/><Relationship Id="rId5" Type="http://schemas.openxmlformats.org/officeDocument/2006/relationships/hyperlink" Target="https://www.alzint.org/u/World-Alzheimer-Report-2021.pdf"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3239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Hönle Ute</dc:creator>
  <cp:keywords/>
  <dc:description/>
  <cp:lastModifiedBy>Lindermüller Tanja</cp:lastModifiedBy>
  <cp:revision>2</cp:revision>
  <dcterms:created xsi:type="dcterms:W3CDTF">2022-03-15T08:10:00Z</dcterms:created>
  <dcterms:modified xsi:type="dcterms:W3CDTF">2022-03-15T08:10:00Z</dcterms:modified>
</cp:coreProperties>
</file>